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9"/>
          <w:sz w:val="44"/>
          <w:szCs w:val="44"/>
        </w:rPr>
        <w:t>201</w:t>
      </w:r>
      <w:r>
        <w:rPr>
          <w:rFonts w:hint="eastAsia" w:ascii="方正小标宋简体" w:hAnsi="方正小标宋简体" w:eastAsia="方正小标宋简体" w:cs="方正小标宋简体"/>
          <w:b w:val="0"/>
          <w:bCs w:val="0"/>
          <w:spacing w:val="-9"/>
          <w:sz w:val="44"/>
          <w:szCs w:val="44"/>
          <w:lang w:val="en-US" w:eastAsia="zh-CN"/>
        </w:rPr>
        <w:t>8</w:t>
      </w:r>
      <w:r>
        <w:rPr>
          <w:rFonts w:hint="eastAsia" w:ascii="方正小标宋简体" w:hAnsi="方正小标宋简体" w:eastAsia="方正小标宋简体" w:cs="方正小标宋简体"/>
          <w:b w:val="0"/>
          <w:bCs w:val="0"/>
          <w:spacing w:val="-9"/>
          <w:sz w:val="44"/>
          <w:szCs w:val="44"/>
        </w:rPr>
        <w:t>年</w:t>
      </w:r>
      <w:r>
        <w:rPr>
          <w:rFonts w:hint="eastAsia" w:ascii="方正小标宋简体" w:hAnsi="方正小标宋简体" w:eastAsia="方正小标宋简体" w:cs="方正小标宋简体"/>
          <w:b w:val="0"/>
          <w:bCs w:val="0"/>
          <w:spacing w:val="-9"/>
          <w:sz w:val="44"/>
          <w:szCs w:val="44"/>
          <w:lang w:eastAsia="zh-CN"/>
        </w:rPr>
        <w:t>下</w:t>
      </w:r>
      <w:r>
        <w:rPr>
          <w:rFonts w:hint="eastAsia" w:ascii="方正小标宋简体" w:hAnsi="方正小标宋简体" w:eastAsia="方正小标宋简体" w:cs="方正小标宋简体"/>
          <w:b w:val="0"/>
          <w:bCs w:val="0"/>
          <w:spacing w:val="-9"/>
          <w:sz w:val="44"/>
          <w:szCs w:val="44"/>
        </w:rPr>
        <w:t>半年</w:t>
      </w:r>
      <w:r>
        <w:rPr>
          <w:rFonts w:hint="eastAsia" w:ascii="方正小标宋简体" w:hAnsi="方正小标宋简体" w:eastAsia="方正小标宋简体" w:cs="方正小标宋简体"/>
          <w:b w:val="0"/>
          <w:bCs w:val="0"/>
          <w:spacing w:val="-9"/>
          <w:sz w:val="44"/>
          <w:szCs w:val="44"/>
          <w:lang w:val="en-US" w:eastAsia="zh-CN"/>
        </w:rPr>
        <w:t>人防工程建设质量抽查（抽检）</w:t>
      </w:r>
      <w:r>
        <w:rPr>
          <w:rFonts w:hint="eastAsia" w:ascii="方正小标宋简体" w:hAnsi="方正小标宋简体" w:eastAsia="方正小标宋简体" w:cs="方正小标宋简体"/>
          <w:b w:val="0"/>
          <w:bCs w:val="0"/>
          <w:spacing w:val="-9"/>
          <w:sz w:val="44"/>
          <w:szCs w:val="44"/>
        </w:rPr>
        <w:t>情况</w:t>
      </w:r>
      <w:r>
        <w:rPr>
          <w:rFonts w:hint="eastAsia" w:ascii="方正小标宋简体" w:hAnsi="方正小标宋简体" w:eastAsia="方正小标宋简体" w:cs="方正小标宋简体"/>
          <w:b w:val="0"/>
          <w:bCs w:val="0"/>
          <w:spacing w:val="-9"/>
          <w:sz w:val="44"/>
          <w:szCs w:val="44"/>
          <w:lang w:eastAsia="zh-CN"/>
        </w:rPr>
        <w:t>统计表</w:t>
      </w:r>
    </w:p>
    <w:tbl>
      <w:tblPr>
        <w:tblStyle w:val="4"/>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60"/>
        <w:gridCol w:w="1845"/>
        <w:gridCol w:w="2235"/>
        <w:gridCol w:w="3195"/>
        <w:gridCol w:w="411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02" w:type="dxa"/>
            <w:vMerge w:val="restart"/>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960" w:type="dxa"/>
            <w:vMerge w:val="restart"/>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区域</w:t>
            </w:r>
          </w:p>
        </w:tc>
        <w:tc>
          <w:tcPr>
            <w:tcW w:w="1845" w:type="dxa"/>
            <w:vMerge w:val="restart"/>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项目名称</w:t>
            </w:r>
          </w:p>
        </w:tc>
        <w:tc>
          <w:tcPr>
            <w:tcW w:w="2235" w:type="dxa"/>
            <w:vMerge w:val="restart"/>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建设单位</w:t>
            </w:r>
          </w:p>
        </w:tc>
        <w:tc>
          <w:tcPr>
            <w:tcW w:w="7305" w:type="dxa"/>
            <w:gridSpan w:val="2"/>
            <w:vAlign w:val="center"/>
          </w:tcPr>
          <w:p>
            <w:pPr>
              <w:spacing w:line="660" w:lineRule="exact"/>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存在问题</w:t>
            </w:r>
          </w:p>
        </w:tc>
        <w:tc>
          <w:tcPr>
            <w:tcW w:w="979" w:type="dxa"/>
            <w:vMerge w:val="restart"/>
            <w:vAlign w:val="center"/>
          </w:tcPr>
          <w:p>
            <w:pPr>
              <w:spacing w:line="66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02" w:type="dxa"/>
            <w:vMerge w:val="continue"/>
            <w:vAlign w:val="center"/>
          </w:tcPr>
          <w:p>
            <w:pPr>
              <w:spacing w:line="660" w:lineRule="exact"/>
              <w:jc w:val="center"/>
              <w:rPr>
                <w:rFonts w:hint="eastAsia" w:ascii="仿宋_GB2312" w:hAnsi="仿宋_GB2312" w:eastAsia="仿宋_GB2312" w:cs="仿宋_GB2312"/>
                <w:b/>
                <w:bCs/>
                <w:sz w:val="28"/>
                <w:szCs w:val="28"/>
              </w:rPr>
            </w:pPr>
          </w:p>
        </w:tc>
        <w:tc>
          <w:tcPr>
            <w:tcW w:w="960" w:type="dxa"/>
            <w:vMerge w:val="continue"/>
            <w:vAlign w:val="center"/>
          </w:tcPr>
          <w:p>
            <w:pPr>
              <w:spacing w:line="660" w:lineRule="exact"/>
              <w:jc w:val="center"/>
              <w:rPr>
                <w:rFonts w:hint="eastAsia" w:ascii="仿宋_GB2312" w:hAnsi="仿宋_GB2312" w:eastAsia="仿宋_GB2312" w:cs="仿宋_GB2312"/>
                <w:b/>
                <w:bCs/>
                <w:sz w:val="28"/>
                <w:szCs w:val="28"/>
              </w:rPr>
            </w:pPr>
          </w:p>
        </w:tc>
        <w:tc>
          <w:tcPr>
            <w:tcW w:w="1845" w:type="dxa"/>
            <w:vMerge w:val="continue"/>
            <w:vAlign w:val="center"/>
          </w:tcPr>
          <w:p>
            <w:pPr>
              <w:spacing w:line="660" w:lineRule="exact"/>
              <w:jc w:val="center"/>
              <w:rPr>
                <w:rFonts w:hint="eastAsia" w:ascii="仿宋_GB2312" w:hAnsi="仿宋_GB2312" w:eastAsia="仿宋_GB2312" w:cs="仿宋_GB2312"/>
                <w:b/>
                <w:bCs/>
                <w:sz w:val="28"/>
                <w:szCs w:val="28"/>
              </w:rPr>
            </w:pPr>
          </w:p>
        </w:tc>
        <w:tc>
          <w:tcPr>
            <w:tcW w:w="2235" w:type="dxa"/>
            <w:vMerge w:val="continue"/>
            <w:vAlign w:val="center"/>
          </w:tcPr>
          <w:p>
            <w:pPr>
              <w:spacing w:line="660" w:lineRule="exact"/>
              <w:jc w:val="center"/>
              <w:rPr>
                <w:rFonts w:hint="eastAsia" w:ascii="仿宋_GB2312" w:hAnsi="仿宋_GB2312" w:eastAsia="仿宋_GB2312" w:cs="仿宋_GB2312"/>
                <w:b/>
                <w:bCs/>
                <w:sz w:val="28"/>
                <w:szCs w:val="28"/>
              </w:rPr>
            </w:pPr>
          </w:p>
        </w:tc>
        <w:tc>
          <w:tcPr>
            <w:tcW w:w="3195" w:type="dxa"/>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审批资料检查</w:t>
            </w:r>
          </w:p>
        </w:tc>
        <w:tc>
          <w:tcPr>
            <w:tcW w:w="4110" w:type="dxa"/>
            <w:vAlign w:val="center"/>
          </w:tcPr>
          <w:p>
            <w:pPr>
              <w:spacing w:line="66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现场检查</w:t>
            </w:r>
          </w:p>
        </w:tc>
        <w:tc>
          <w:tcPr>
            <w:tcW w:w="979" w:type="dxa"/>
            <w:vMerge w:val="continue"/>
            <w:vAlign w:val="center"/>
          </w:tcPr>
          <w:p>
            <w:pPr>
              <w:spacing w:line="660" w:lineRule="exact"/>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南海区</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金域花园</w:t>
            </w:r>
            <w:r>
              <w:rPr>
                <w:rFonts w:hint="eastAsia" w:ascii="仿宋_GB2312" w:hAnsi="仿宋_GB2312" w:eastAsia="仿宋_GB2312" w:cs="仿宋_GB2312"/>
                <w:b w:val="0"/>
                <w:bCs w:val="0"/>
                <w:sz w:val="24"/>
                <w:szCs w:val="24"/>
                <w:vertAlign w:val="baseline"/>
                <w:lang w:val="en-US" w:eastAsia="zh-CN"/>
              </w:rPr>
              <w:t>1区24-33座</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佛山市南海区万瑞投资有限公司</w:t>
            </w:r>
          </w:p>
        </w:tc>
        <w:tc>
          <w:tcPr>
            <w:tcW w:w="31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1、自行出具开工通知书；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2、缺收件凭证和送达回执。</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bCs/>
                <w:sz w:val="24"/>
                <w:szCs w:val="24"/>
                <w:vertAlign w:val="baseline"/>
                <w:lang w:eastAsia="zh-CN"/>
              </w:rPr>
              <w:t>现场查看</w:t>
            </w:r>
            <w:r>
              <w:rPr>
                <w:rFonts w:hint="eastAsia" w:ascii="仿宋_GB2312" w:hAnsi="仿宋_GB2312" w:eastAsia="仿宋_GB2312" w:cs="仿宋_GB2312"/>
                <w:b w:val="0"/>
                <w:bCs w:val="0"/>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1、存在后开孔现象；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2、部分通道被建筑装修材料堵塞；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3、卫生环境较差。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现场检测：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门框孔宽度偏差超出允许误差值；</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油漆漆膜厚度超出标准值；</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门扇与门框贴合面允许间隙过大；</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门框垂直度偏差超出允许误差值。</w:t>
            </w:r>
          </w:p>
        </w:tc>
        <w:tc>
          <w:tcPr>
            <w:tcW w:w="9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南海区</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聚兴花园</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佛山市南海利澳房地产开发有限公司</w:t>
            </w:r>
          </w:p>
        </w:tc>
        <w:tc>
          <w:tcPr>
            <w:tcW w:w="31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1、自行出具开工通知书；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2、缺收件凭证和送达回执；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3、设计要点（佛（南）人防建[2017]323号）中信息错误。</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现场查看：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1、封堵板存放地方占用停车位。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现场检测：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1、油漆漆膜厚度超出标准值。</w:t>
            </w:r>
          </w:p>
        </w:tc>
        <w:tc>
          <w:tcPr>
            <w:tcW w:w="9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禅城区</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奇槎片区办公学校</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禅城东部商务区投资建设有限公司</w:t>
            </w:r>
          </w:p>
        </w:tc>
        <w:tc>
          <w:tcPr>
            <w:tcW w:w="31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1、设计要点（佛（禅）人防建[2017]29号）的发出时间在内部审批表日期之前；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2、自行出具开工通知书。</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现场查看：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部分灭火器随地摆放；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个别门的连接部件缺乏润滑。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现场检测：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1、门扇与门框贴合面允许间隙过大；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2、油漆漆膜厚度超出标准值；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3、铰页轴线垂直度偏差超出标准值。</w:t>
            </w:r>
          </w:p>
        </w:tc>
        <w:tc>
          <w:tcPr>
            <w:tcW w:w="9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禅城区</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佛山万科又一城项目</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佛山禅城区万鹄房地产有限公司</w:t>
            </w:r>
          </w:p>
        </w:tc>
        <w:tc>
          <w:tcPr>
            <w:tcW w:w="31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1、自行出具开工通知书；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2、履行义务证明书的出具日期在竣工备案意见及内部审批表主要领导签发日期之前。</w:t>
            </w:r>
          </w:p>
        </w:tc>
        <w:tc>
          <w:tcPr>
            <w:tcW w:w="41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现场查看：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1、个别通道用于运送装修材料，对已安装的门框未采取有效保护措施；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2、部分灌浆补漏的墙面和顶板未清理干净；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3、地面积水较多。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现场检测：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val="en-US" w:eastAsia="zh-CN"/>
              </w:rPr>
              <w:t>1、油漆漆膜厚度超出标准值。</w:t>
            </w:r>
          </w:p>
        </w:tc>
        <w:tc>
          <w:tcPr>
            <w:tcW w:w="9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rPr>
            </w:pPr>
          </w:p>
        </w:tc>
      </w:tr>
    </w:tbl>
    <w:p>
      <w:pPr>
        <w:spacing w:line="660" w:lineRule="exact"/>
        <w:rPr>
          <w:rFonts w:hint="eastAsia" w:ascii="黑体" w:hAnsi="黑体" w:eastAsia="黑体" w:cs="仿宋_GB2312"/>
          <w:b w:val="0"/>
          <w:bCs w:val="0"/>
        </w:rPr>
      </w:pP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D3B0"/>
    <w:multiLevelType w:val="singleLevel"/>
    <w:tmpl w:val="5C22D3B0"/>
    <w:lvl w:ilvl="0" w:tentative="0">
      <w:start w:val="1"/>
      <w:numFmt w:val="decimal"/>
      <w:suff w:val="nothing"/>
      <w:lvlText w:val="%1、"/>
      <w:lvlJc w:val="left"/>
    </w:lvl>
  </w:abstractNum>
  <w:abstractNum w:abstractNumId="1">
    <w:nsid w:val="5C22DE9D"/>
    <w:multiLevelType w:val="singleLevel"/>
    <w:tmpl w:val="5C22DE9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B7F20"/>
    <w:rsid w:val="1C7B7F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 w:hAnsi="楷体" w:eastAsia="楷体" w:cs="宋体"/>
      <w:b/>
      <w:bCs/>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佛山市人民防空办公室</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2019-01-25T04:29:00Z</dcterms:created>
  <dc:creator>方新</dc:creator>
  <cp:lastModifiedBy>方新</cp:lastModifiedBy>
  <dcterms:modified xsi:type="dcterms:W3CDTF">2019-01-25T04:30:19Z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