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《佛山市地下空间兼顾人民防空要求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实施办法》政策解读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随着我市地下交通干线、综合管廊等地下空间项目建设不断发展，增强地下空间战时防护效能的重要性日益显现。</w:t>
      </w:r>
      <w:r>
        <w:rPr>
          <w:rFonts w:hint="eastAsia" w:ascii="仿宋_GB2312" w:hAnsi="仿宋_GB2312" w:eastAsia="仿宋_GB2312"/>
          <w:sz w:val="32"/>
          <w:lang w:eastAsia="zh-CN"/>
        </w:rPr>
        <w:t>现行的《中华人民共和国人民防空法》《</w:t>
      </w:r>
      <w:r>
        <w:rPr>
          <w:rFonts w:hint="eastAsia" w:ascii="仿宋_GB2312" w:hAnsi="仿宋_GB2312" w:eastAsia="仿宋_GB2312"/>
          <w:sz w:val="32"/>
          <w:lang w:val="en-US" w:eastAsia="zh-CN"/>
        </w:rPr>
        <w:t>城市地下空间开发利用管理规定</w:t>
      </w:r>
      <w:r>
        <w:rPr>
          <w:rFonts w:hint="eastAsia" w:ascii="仿宋_GB2312" w:hAnsi="仿宋_GB2312" w:eastAsia="仿宋_GB2312"/>
          <w:sz w:val="32"/>
          <w:lang w:eastAsia="zh-CN"/>
        </w:rPr>
        <w:t>》等法律、</w:t>
      </w:r>
      <w:r>
        <w:rPr>
          <w:rFonts w:hint="eastAsia" w:ascii="仿宋_GB2312" w:hAnsi="仿宋_GB2312" w:eastAsia="仿宋_GB2312"/>
          <w:sz w:val="32"/>
          <w:lang w:val="en-US" w:eastAsia="zh-CN"/>
        </w:rPr>
        <w:t>规章</w:t>
      </w:r>
      <w:r>
        <w:rPr>
          <w:rFonts w:hint="eastAsia" w:ascii="仿宋_GB2312" w:hAnsi="仿宋_GB2312" w:eastAsia="仿宋_GB2312"/>
          <w:sz w:val="32"/>
          <w:lang w:eastAsia="zh-CN"/>
        </w:rPr>
        <w:t>虽然对</w:t>
      </w:r>
      <w:r>
        <w:rPr>
          <w:rFonts w:hint="eastAsia" w:ascii="仿宋_GB2312" w:hAnsi="仿宋_GB2312" w:eastAsia="仿宋_GB2312"/>
          <w:sz w:val="32"/>
          <w:lang w:val="en-US" w:eastAsia="zh-CN"/>
        </w:rPr>
        <w:t>地下空间工程建设兼顾人民防空要求</w:t>
      </w:r>
      <w:r>
        <w:rPr>
          <w:rFonts w:hint="eastAsia" w:ascii="仿宋_GB2312" w:hAnsi="仿宋_GB2312" w:eastAsia="仿宋_GB2312"/>
          <w:sz w:val="32"/>
          <w:lang w:eastAsia="zh-CN"/>
        </w:rPr>
        <w:t>作出了概括性规定，但条款比较宏观，不够具体明细。因此，为</w:t>
      </w:r>
      <w:r>
        <w:rPr>
          <w:rFonts w:hint="eastAsia" w:ascii="仿宋_GB2312" w:hAnsi="仿宋_GB2312" w:eastAsia="仿宋_GB2312"/>
          <w:sz w:val="32"/>
          <w:lang w:val="en-US" w:eastAsia="zh-CN"/>
        </w:rPr>
        <w:t>推进我市人民防空建设和地下空间项目建设协调发展，提高城市综合防护能力，</w:t>
      </w:r>
      <w:r>
        <w:rPr>
          <w:rFonts w:hint="eastAsia" w:ascii="仿宋_GB2312" w:hAnsi="仿宋_GB2312" w:eastAsia="仿宋_GB2312"/>
          <w:sz w:val="32"/>
          <w:lang w:eastAsia="zh-CN"/>
        </w:rPr>
        <w:t>市人防办起草了《佛山市地下空间兼顾人民防空要求实施办法》（以下简称《办法》），对</w:t>
      </w:r>
      <w:r>
        <w:rPr>
          <w:rFonts w:hint="eastAsia" w:ascii="仿宋_GB2312" w:hAnsi="仿宋_GB2312" w:eastAsia="仿宋_GB2312"/>
          <w:sz w:val="32"/>
          <w:lang w:val="en-US" w:eastAsia="zh-CN"/>
        </w:rPr>
        <w:t>各类地下空间开发项目在规划、审批、建设、管理等方面兼顾人民防空要求等有关事项作出明确规定。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二、起草依据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中华人民共和国国防法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2.《中华人民共和国国防动员法》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《中华人民共和国人民防空法》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城市地下空间开发利用管理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instrText xml:space="preserve"> HYPERLINK "https://alphalawyer.cn/ilawregu-search/api/v1/lawregu/redict/4070d56c7c9f994c67a6c3e4e4072f87"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广东省实施&lt;中华人民共和国人民防空法&gt;办法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三、重要内容解读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（一）明确地下空间定义。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《中华人民共和国人民防空法》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城市地下空间开发利用管理规定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》等法律、规章未对地下空间项目予以明确定义，随着经济社会发展，地下空间涵盖了地下商业广场、地下轨道交通干线、城市地下隧道、综合管廊等诸多类型，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《办法》明确了地下空间的有关定义，同时区分了结合民用建筑修建的防空地下室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的开发、建设和管理，适用其他法律法规规定，避免造成混淆。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（第三条）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（二）明确地下空间项目兼顾人民防空要求的建设经费规定。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《办法》规定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新建地下空间项目兼顾人民防空要求产生的建设经费，由建设单位负责，列入建设项目总投资，同时鼓励已建成或者正在建设的普通地下空间项目，通过采取相应措施，改建为兼顾人民防空要求的地下空间项目。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（第五条）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（三）明确各类型地下空间兼顾人民防空要求的具体规定。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地下空间项目有别于结合地面建筑修建的防空地下室，其建设类型多样，《办法》根据各地下空间项目的功能类型和特点，明确了其兼顾人民防空要求的具体措施。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（第六条）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（四）明确地下空间专项规划编制要求。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《办法》明确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自然资源部门应当组织编制地下空间开发利用专项规划，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地下空间开发利用专项规划应当与人民防空工程建设规划相衔接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，以规范地下空间的有序开发和加强防护效能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（第七条）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（五）加强地下空间的互连互通。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根据城市综合防护能力提升需要，《办法》规定地下空间项目开发建设应加强互连互通，同时明确相关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鼓励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措施，规定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相邻人民防空工程之间、人民防空工程与其他地下工程之间，按照规划要求修建的连通通道，符合人民防空工程设计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要求及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施工规范的，通道面积可以计入人民防空工程建设面积。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（第八条、第九条）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（六）明确</w:t>
      </w:r>
      <w:r>
        <w:rPr>
          <w:rFonts w:hint="eastAsia" w:ascii="仿宋_GB2312" w:eastAsia="仿宋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地下空间平战转换</w:t>
      </w: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要求。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结合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《佛山市人民防空工程平战转换管理办法》的有关规定，《办法》规定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兼顾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人民防空要求的地下空间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在竣工验收前应当编制平战转换实施预案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预案的编制应当符合人民防空工程平战转换管理的有关要求，实行“六分”的转换策略。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（第十条）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autoSpaceDE/>
        <w:autoSpaceDN/>
        <w:bidi w:val="0"/>
        <w:spacing w:line="560" w:lineRule="exact"/>
        <w:ind w:firstLine="642" w:firstLineChars="200"/>
        <w:jc w:val="both"/>
        <w:textAlignment w:val="auto"/>
        <w:rPr>
          <w:rFonts w:hint="default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（七）明确</w:t>
      </w:r>
      <w:r>
        <w:rPr>
          <w:rFonts w:hint="eastAsia" w:ascii="仿宋_GB2312" w:eastAsia="仿宋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地下空间的使用和维护管理规定</w:t>
      </w: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《办法》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规定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兼顾人民防空要求的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地下空间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项目的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建设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单位以及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使用单位不得擅自改变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人民防空工程部分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的结构和用途，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Hans" w:bidi="ar-SA"/>
        </w:rPr>
        <w:t>平时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使用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Hans" w:bidi="ar-SA"/>
        </w:rPr>
        <w:t>不得影响工程的战时防护效能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，落实地下空间的安全使用和维护管理各项制度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Hans" w:bidi="ar-SA"/>
        </w:rPr>
        <w:t>。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（第十一条、第十二条）</w:t>
      </w:r>
    </w:p>
    <w:sectPr>
      <w:footerReference r:id="rId3" w:type="default"/>
      <w:pgSz w:w="11906" w:h="16838"/>
      <w:pgMar w:top="2098" w:right="1474" w:bottom="1984" w:left="1587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503050405090304"/>
    <w:charset w:val="CC"/>
    <w:family w:val="roman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-548640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3.2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WAAAAZHJzL1BL&#10;AQIUABQAAAAIAIdO4kBXMNsq2AAAAAsBAAAPAAAAAAAAAAEAIAAAADgAAABkcnMvZG93bnJldi54&#10;bWxQSwECFAAUAAAACACHTuJAdkhSS8gCAADsBQAADgAAAAAAAAABACAAAAA9AQAAZHJzL2Uyb0Rv&#10;Yy54bWxQSwUGAAAAAAYABgBZAQAAd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BDBBB"/>
    <w:rsid w:val="0FAE0D91"/>
    <w:rsid w:val="37F3494D"/>
    <w:rsid w:val="3E6E2293"/>
    <w:rsid w:val="3FFF20A3"/>
    <w:rsid w:val="47FF9BDB"/>
    <w:rsid w:val="5B5B9ECD"/>
    <w:rsid w:val="5F757698"/>
    <w:rsid w:val="5FB925CB"/>
    <w:rsid w:val="5FF7DF92"/>
    <w:rsid w:val="64F56A3E"/>
    <w:rsid w:val="65F3080F"/>
    <w:rsid w:val="6BD7AD67"/>
    <w:rsid w:val="6BFBDBD5"/>
    <w:rsid w:val="6ECBB866"/>
    <w:rsid w:val="6EDB8504"/>
    <w:rsid w:val="6FDB6731"/>
    <w:rsid w:val="7A6BDFED"/>
    <w:rsid w:val="7DFFFEF3"/>
    <w:rsid w:val="7F2F8BB6"/>
    <w:rsid w:val="7FF5A50F"/>
    <w:rsid w:val="CD5B61CE"/>
    <w:rsid w:val="EEFBDBBB"/>
    <w:rsid w:val="F1BF87A0"/>
    <w:rsid w:val="F6FF6239"/>
    <w:rsid w:val="F7F6D678"/>
    <w:rsid w:val="FC7DE752"/>
    <w:rsid w:val="FDAE9EE0"/>
    <w:rsid w:val="FDDF722E"/>
    <w:rsid w:val="FEBF75BF"/>
    <w:rsid w:val="FEF59C94"/>
    <w:rsid w:val="FF731721"/>
    <w:rsid w:val="FFCEA181"/>
    <w:rsid w:val="FF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ascii="Calibri" w:hAnsi="Calibri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Body Text First Indent"/>
    <w:basedOn w:val="4"/>
    <w:next w:val="6"/>
    <w:unhideWhenUsed/>
    <w:qFormat/>
    <w:uiPriority w:val="0"/>
    <w:pPr>
      <w:widowControl w:val="0"/>
      <w:spacing w:after="120" w:line="240" w:lineRule="auto"/>
      <w:ind w:firstLine="420" w:firstLineChars="100"/>
    </w:pPr>
    <w:rPr>
      <w:rFonts w:eastAsia="微软雅黑"/>
      <w:color w:val="auto"/>
      <w:sz w:val="21"/>
    </w:rPr>
  </w:style>
  <w:style w:type="paragraph" w:styleId="6">
    <w:name w:val="Plain Text"/>
    <w:basedOn w:val="1"/>
    <w:unhideWhenUsed/>
    <w:qFormat/>
    <w:uiPriority w:val="0"/>
    <w:rPr>
      <w:rFonts w:ascii="宋体" w:hAnsi="Courier New" w:cs="Courier New"/>
      <w:color w:val="FF0000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List Paragraph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2023-04-17T19:27:00Z</dcterms:created>
  <dc:creator>彭宇洲</dc:creator>
  <cp:lastModifiedBy>李国程</cp:lastModifiedBy>
  <dcterms:modified xsi:type="dcterms:W3CDTF">2023-07-31T08:41:17Z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